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C91C" w14:textId="49A6E482" w:rsidR="00967473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тамақтануы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қамтамасыздануы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жұқпалы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аурулардың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факторлардың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әсеріне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оқытуға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жасөспірімдер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денсаулығының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қолдауындағы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басымдылық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тұрғындардың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тамақтануы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саясатта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473" w:rsidRPr="00802CEF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="00967473" w:rsidRPr="00802CEF">
        <w:rPr>
          <w:rFonts w:ascii="Times New Roman" w:hAnsi="Times New Roman" w:cs="Times New Roman"/>
          <w:sz w:val="24"/>
          <w:szCs w:val="24"/>
        </w:rPr>
        <w:t>.</w:t>
      </w:r>
    </w:p>
    <w:p w14:paraId="709D0D30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ара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соңғысының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организмнің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қажеттілігіне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қалыпты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қамтамасыздандыруы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іс-әрекеттілігі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619684CF" w14:textId="7FB641F0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кезекте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бөлуіне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ұжымдардағы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ұйымдастырылуының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кемшіліктеріне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:</w:t>
      </w:r>
    </w:p>
    <w:p w14:paraId="6671EFE2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нәрлі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физиологиялық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келмеуі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3C0CA684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Нәрлі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белоктар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тектес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витаминдер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минералдарды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түспейді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тапшылықтар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көмірсулар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майларды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артығынан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қосып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4C5CE1A1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түспейді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248C8DD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блоктардың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материальдық-техникалық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базазы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кезекте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аумақтармен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ескіргендігімен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қамтамасыздандырылған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84E4C3E" w14:textId="2F9F2697" w:rsidR="00967473" w:rsidRPr="00CD6146" w:rsidRDefault="00CD6146" w:rsidP="00802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Балалар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мекемесінде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тамақтануды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ұйымдастыруға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қойылатын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талаптар</w:t>
      </w:r>
      <w:proofErr w:type="spellEnd"/>
    </w:p>
    <w:p w14:paraId="5ECFBFB0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есептелген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62F9A29E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топтарды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ажыратады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:</w:t>
      </w:r>
    </w:p>
    <w:p w14:paraId="1DE085E1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туғаннан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дейіңгі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497CD397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дейіңгі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54CE334D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0592FCF3" w14:textId="1335770C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ұйымдастырылуының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перспективті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Перспективті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2CEF">
        <w:rPr>
          <w:rFonts w:ascii="Times New Roman" w:hAnsi="Times New Roman" w:cs="Times New Roman"/>
          <w:sz w:val="24"/>
          <w:szCs w:val="24"/>
        </w:rPr>
        <w:t>7-10</w:t>
      </w:r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қызметкермен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түрлігіне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жоспарлауын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ассортиментермен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қамтамасыздандырылады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72FE9FEF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сандарын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көбейтеді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(7-ік и 10-лық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меню).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табаққа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салуды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біле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табаққа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берілуін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есептейді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рацион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қант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қаймақ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сандармен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кіруі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сүзбе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ірімшік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қаймақ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берілу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D4A93BA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Перспективті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түрлілігі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есебіне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әзірленетін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есебімен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11222CF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сосын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тәңертенгі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құруды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түзетілген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рацион,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физиологиялық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±10%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ереже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- ±10%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нормаларымен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айына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түзетілуіне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4FCE29AD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БМ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ұйымдастырылуы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көздерінің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рецептураларын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(рецептура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монографиялар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осылардың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көздеріне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ас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картотекасы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3321C0D1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lastRenderedPageBreak/>
        <w:t>Егер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кестелер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Белок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ауыстырмалықтарға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ірімшік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жарма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макарондық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сиыр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түрлілігі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пайыздық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ара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қатынаспен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қосылу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сиыр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30%,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қой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20%,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тауық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- 20%,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қоян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15%,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субөнімдері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15%.</w:t>
      </w:r>
    </w:p>
    <w:p w14:paraId="30EEEC24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кестелерді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ауыстырушы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салмағы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ауыстырушы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нетто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граммымен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белгіленгенін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себепте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жеуге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жарайтын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жиынтықта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брутто-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салмағына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58E5EF3A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Құрастырылған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меню-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сұрыптама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жетекшісімен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бекітілу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олардағы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рұқсатымен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08176F39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Перспективті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меню-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сұрыптама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қамтамасыздануға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бейімделген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ұтымдылығы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06128772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калориялық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жылдамдығының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тәртібімен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дейіңгі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көбі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санаторлы-интернатты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мекемелері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еселі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тәңертенгі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пен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қуаттылығының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жабу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– 35%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ішілетін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15%. 3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дейіңгі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қуаттылықтың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біркелкі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жағына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өзгеруі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: 25%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тәңертенгі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пен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30%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ішілетін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0CE777FE" w14:textId="0524C1A8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Перспективті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тәуліктік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менюді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ережелерден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нұсқауларын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ұйымдастырылуының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6F30F29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тізбелері</w:t>
      </w:r>
      <w:proofErr w:type="spellEnd"/>
    </w:p>
    <w:p w14:paraId="55996119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тізбелері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1,5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санитарлы-эпидемиологиялық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қорытындыда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қолдануына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нұсқаулардың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куәлігі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).</w:t>
      </w:r>
    </w:p>
    <w:p w14:paraId="782EE7AD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әкелінеді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(топ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алфавит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ретімен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).</w:t>
      </w:r>
    </w:p>
    <w:p w14:paraId="3A7AD1C2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 1.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сүзбе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қаймақ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ірімшік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14CDC756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3564E923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Картоп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кептірілген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құрғақ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жаңғақтар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консервілер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7B50B4B6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Шырын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сусындар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какао,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сусын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концентраттары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62319184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5. Нан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ұннан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пісірілген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22A86845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Кондитерлік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қант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бал, повидло,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тосап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, джем;</w:t>
      </w:r>
    </w:p>
    <w:p w14:paraId="31B4E773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жармалар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бұршақ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макаронды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крахмал,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дәнді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041FEC17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майлар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;</w:t>
      </w:r>
    </w:p>
    <w:p w14:paraId="57B0E281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дәмдеуіштер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ашытқылар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37EE58E3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Тәңертенгі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ассортимент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винегреттер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макаронннан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кеспелерден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картоптардан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сүзбеден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ащы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ірімшіктен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ботқалар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берілу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сусындардан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кофе,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Тәңертеңгі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белоктармен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бай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қамырдан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жасалынған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пісірілген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ұсынылмаған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4DD4D721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lastRenderedPageBreak/>
        <w:t>Түскі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3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көкөніс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тұздықпен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сусындар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2CEF">
        <w:rPr>
          <w:rFonts w:ascii="Times New Roman" w:hAnsi="Times New Roman" w:cs="Times New Roman"/>
          <w:sz w:val="24"/>
          <w:szCs w:val="24"/>
        </w:rPr>
        <w:t>( компот</w:t>
      </w:r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, кисель, мусс)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сусындарды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ауыстырмайды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толықтырады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Төртінші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дұрысы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винегреттер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тәңертенгі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алмастыру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берілу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витаминдер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өсімдік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794DDE95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Бірініші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қышқылды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(щи, борщ,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қышқылтым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бейтарап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картопты-жармалы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ара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сақталу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6-күндік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3:3 болу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ал 5-күндікте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3:2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2:3.</w:t>
      </w:r>
    </w:p>
    <w:p w14:paraId="3B60F2EA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Құю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етті-балықты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сорпаларды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сүзу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минералды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тұздармен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бай,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көкөніс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сулармен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сұйылту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1153CD5B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Түскі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ас 2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жармалық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сорпалардан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құрылмау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керек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сорпа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жармалы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көкөністер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қалаған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тұздықтар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балықты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картопты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56F9E76F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фарштан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дайындаған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жақсырақ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котлеттер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биточкалар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зразылар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фрикаделькилер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ұнтақталған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қамырға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орап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пісірілген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толтырғыштар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(крахмал,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жұмыртқа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ұн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жарма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жемістер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нормаланған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шығыстарына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2CEF">
        <w:rPr>
          <w:rFonts w:ascii="Times New Roman" w:hAnsi="Times New Roman" w:cs="Times New Roman"/>
          <w:sz w:val="24"/>
          <w:szCs w:val="24"/>
        </w:rPr>
        <w:t>70-80</w:t>
      </w:r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).</w:t>
      </w:r>
    </w:p>
    <w:p w14:paraId="4C308330" w14:textId="77777777" w:rsidR="00967473" w:rsidRPr="00802CEF" w:rsidRDefault="00967473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Көкөністі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салаттарды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винегреттерді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регламенттелмейді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бөліктердің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араласуы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тұзбен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қантпен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сұйық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маймен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құйылуы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жасалынады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11E5A0CF" w14:textId="7A05E3AC" w:rsidR="00802CEF" w:rsidRPr="00802CEF" w:rsidRDefault="00CD6146" w:rsidP="00802C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Мектепке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дей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інгі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ұйымдардағы </w:t>
      </w:r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балалардың</w:t>
      </w:r>
      <w:proofErr w:type="spellEnd"/>
      <w:proofErr w:type="gram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тамақтануын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ұйымдастыруды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гигиеналық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бағалау</w:t>
      </w:r>
      <w:proofErr w:type="spellEnd"/>
      <w:r w:rsidRPr="00CD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146">
        <w:rPr>
          <w:rFonts w:ascii="Times New Roman" w:hAnsi="Times New Roman" w:cs="Times New Roman"/>
          <w:b/>
          <w:bCs/>
          <w:sz w:val="24"/>
          <w:szCs w:val="24"/>
        </w:rPr>
        <w:t>әдістемесі</w:t>
      </w:r>
      <w:proofErr w:type="spellEnd"/>
    </w:p>
    <w:p w14:paraId="3156E916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Нақтыланған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мекемедегі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есебінің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тауарлық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оқытылу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ілінетін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стендтеріндегі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меню;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жинақталған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анализдер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кулинарлық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бракиражды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журналдар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бақылауындағы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журналдағы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тәрбиеленушілердің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құрылуына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шығын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тауарлы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транспорттық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2CEF">
        <w:rPr>
          <w:rFonts w:ascii="Times New Roman" w:hAnsi="Times New Roman" w:cs="Times New Roman"/>
          <w:sz w:val="24"/>
          <w:szCs w:val="24"/>
        </w:rPr>
        <w:t>шығыстар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тәрбиеленушілердің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калькуляциондық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карталар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6E38BA32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нақтылы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сауықтыру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қызметкерімен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бірігіп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жасөспірімдердің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клиникалық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бағасымен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біріктіріледі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анализінің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көрсеткіштер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сырқаттанушылық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алиментарлы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тәуелді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жағдайлары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жасөспірімдердің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таңдаулы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тексерістер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клиникалық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субклиникалық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көріністердің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микросимптомдар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микронутриендтердің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көріністері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мекемесінен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тәрбиеленушілерден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бағасын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сараптау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сұрақ-жауап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114BFBC4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нақтылы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рационы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жұмадан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аспайтын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актісінде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санитарлық-эпидемиологиялық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сараптамасының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актысында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бағасының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хаттамасында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).</w:t>
      </w:r>
    </w:p>
    <w:p w14:paraId="2B063B63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Жинақтаушы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анализі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жиынтығының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тізімдері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тәрбиеленушілердің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құруында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есептердің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дәлдігі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ретін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тексереді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29210CBF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lastRenderedPageBreak/>
        <w:t>Білім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беру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сауықтандыру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мекемелерінің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жасөспірімдердің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бағасы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өндірілген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базалық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өндірістермен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73F2D5AC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сауықтандыру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мекемелерінің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жасөспірімдердің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ассортиментінің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нақтылы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асырылдатын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ассортиментімен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сақталатын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шолып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жұмысымен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:</w:t>
      </w:r>
    </w:p>
    <w:p w14:paraId="45FC22F7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гигиеналық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алгоритміне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келесідей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процедуралар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:</w:t>
      </w:r>
    </w:p>
    <w:p w14:paraId="74D644C1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 1.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таратуды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құрылымына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рационының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келісіміне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5B1896F3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азықтардың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кулинарлық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бұйымдардың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5963C569" w14:textId="77777777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азықтардың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кулинарлық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бұйымдардың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ауыстырудың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адекваттылығын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эквиваленттігін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дұрыстығын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639944E1" w14:textId="1333DC84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Тәрбиеленушілердің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тамақтануы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тағамдық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азықтардың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.</w:t>
      </w:r>
    </w:p>
    <w:p w14:paraId="7C9F3F1B" w14:textId="3E69F42A" w:rsidR="00802CEF" w:rsidRP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02CE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802CEF">
        <w:rPr>
          <w:rFonts w:ascii="Times New Roman" w:hAnsi="Times New Roman" w:cs="Times New Roman"/>
          <w:sz w:val="24"/>
          <w:szCs w:val="24"/>
        </w:rPr>
        <w:t>Т</w:t>
      </w:r>
      <w:r w:rsidRPr="00802CEF">
        <w:rPr>
          <w:rFonts w:ascii="Times New Roman" w:hAnsi="Times New Roman" w:cs="Times New Roman"/>
          <w:sz w:val="24"/>
          <w:szCs w:val="24"/>
        </w:rPr>
        <w:t>әрбиеленушілердің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proofErr w:type="gram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статусын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EF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802CEF">
        <w:rPr>
          <w:rFonts w:ascii="Times New Roman" w:hAnsi="Times New Roman" w:cs="Times New Roman"/>
          <w:sz w:val="24"/>
          <w:szCs w:val="24"/>
        </w:rPr>
        <w:t>:</w:t>
      </w:r>
    </w:p>
    <w:p w14:paraId="0444DF6E" w14:textId="77777777" w:rsidR="00802CEF" w:rsidRDefault="00802CEF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02CEF">
        <w:rPr>
          <w:rFonts w:ascii="Times New Roman" w:hAnsi="Times New Roman" w:cs="Times New Roman"/>
          <w:sz w:val="24"/>
          <w:szCs w:val="24"/>
          <w:lang w:val="kk-KZ"/>
        </w:rPr>
        <w:t>Қадағалау бойынша шаралар жүргізгенде, тамақтануды ұйымдастыруды гигиеналық бағалау сияқты, балалар мен жасөспірімдердің негізгі рационын гигиеналық бағалау жүргізіледі.</w:t>
      </w:r>
    </w:p>
    <w:p w14:paraId="0E1CBE2A" w14:textId="7F2BF312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Осы айтылған негізде бракераж отырысының жоспары негізінде сәуір айында кезекті д</w:t>
      </w:r>
      <w:r w:rsidRPr="00CD6146">
        <w:rPr>
          <w:rFonts w:ascii="Times New Roman" w:hAnsi="Times New Roman" w:cs="Times New Roman"/>
          <w:sz w:val="24"/>
          <w:szCs w:val="24"/>
          <w:lang w:val="kk-KZ"/>
        </w:rPr>
        <w:t>айындалып жатқан тағамның құнарлылығын, дайындау технологиясының сақталуын, әр балаға шаққандағы тамақ мөлшерінің сақталуын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D6146">
        <w:rPr>
          <w:rFonts w:ascii="Times New Roman" w:hAnsi="Times New Roman" w:cs="Times New Roman"/>
          <w:sz w:val="24"/>
          <w:szCs w:val="24"/>
          <w:lang w:val="kk-KZ"/>
        </w:rPr>
        <w:t xml:space="preserve">  бақыл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 жүргізілді. </w:t>
      </w:r>
    </w:p>
    <w:p w14:paraId="5DE117CE" w14:textId="67BA0DAA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Бақылау нәтижесінде барлық талаптардың сай екендігі, санитарлық гигиеналық талаптар, тамақтану мөлшері барлығы сақталып тұрады. Медбике тарапынан да, шаруашылық меңгерушісі тарапынан да барлық құжаттардың жүргізілуі дұрыс. </w:t>
      </w:r>
    </w:p>
    <w:p w14:paraId="2B8FF2E8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178C1DB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968576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762CF6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E5287CA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10AF557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647089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EDD489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66806A3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94DA4A9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275B67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6F3C8A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6AD1E4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348647C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10DF32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EA4C77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20A21B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8EF6DD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7594B9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A1D032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65C262B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90342C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31BF4B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0D0700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A3FCB9E" w14:textId="77777777" w:rsidR="00CD6146" w:rsidRDefault="00CD6146" w:rsidP="00802CE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A6385F9" w14:textId="44BF5C0F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D6146">
        <w:rPr>
          <w:rFonts w:ascii="Times New Roman" w:hAnsi="Times New Roman" w:cs="Times New Roman"/>
          <w:sz w:val="32"/>
          <w:szCs w:val="32"/>
          <w:lang w:val="kk-KZ"/>
        </w:rPr>
        <w:lastRenderedPageBreak/>
        <w:t>Бестамақ «Болашақ» балалар бақшасы</w:t>
      </w:r>
    </w:p>
    <w:p w14:paraId="54815FBE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AAE5E76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157F4EB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B0D2066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FE8B6EF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CE55F40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F7B811D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5266E96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344DF8F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64AD6A1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C7BC1AE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DB150BA" w14:textId="33D9A878" w:rsidR="00CD6146" w:rsidRPr="00CD6146" w:rsidRDefault="00CD6146" w:rsidP="00CD614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CD6146">
        <w:rPr>
          <w:rFonts w:ascii="Times New Roman" w:hAnsi="Times New Roman" w:cs="Times New Roman"/>
          <w:b/>
          <w:bCs/>
          <w:sz w:val="36"/>
          <w:szCs w:val="36"/>
          <w:lang w:val="kk-KZ"/>
        </w:rPr>
        <w:t>Дайындалып жатқан тағамның құнарлылығын, дайындау технологиясының сақталуын, әр балаға шаққандағы тамақ мөлшерінің сақталуын  бақылау.</w:t>
      </w:r>
    </w:p>
    <w:p w14:paraId="33165A66" w14:textId="77777777" w:rsidR="00CD6146" w:rsidRDefault="00CD614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0FA51C7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F294DC4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777A9238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B60D030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386651C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23222AFA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3E98B35" w14:textId="462A8B81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Бракераж комиссиясының төрағасы: Р.М.Дүйсенбаева</w:t>
      </w:r>
    </w:p>
    <w:p w14:paraId="73DD6B1A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D7B767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288395F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1CE5F1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DAFDD5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BDA71A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304A66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D44D4A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FD6B27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5E49D9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C76313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3ACEBC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CBCBA6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55E85C" w14:textId="77777777" w:rsidR="004C4EC6" w:rsidRDefault="004C4EC6" w:rsidP="00CD61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DC0096" w14:textId="2DA2FBA5" w:rsidR="00406C95" w:rsidRPr="004C4EC6" w:rsidRDefault="004C4EC6" w:rsidP="004C4E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 жыл, сәуір.</w:t>
      </w:r>
    </w:p>
    <w:sectPr w:rsidR="00406C95" w:rsidRPr="004C4EC6" w:rsidSect="0020291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0D68"/>
    <w:multiLevelType w:val="multilevel"/>
    <w:tmpl w:val="21D6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07294"/>
    <w:multiLevelType w:val="multilevel"/>
    <w:tmpl w:val="B63C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980212">
    <w:abstractNumId w:val="1"/>
  </w:num>
  <w:num w:numId="2" w16cid:durableId="121230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73"/>
    <w:rsid w:val="00202917"/>
    <w:rsid w:val="00406C95"/>
    <w:rsid w:val="004C4EC6"/>
    <w:rsid w:val="004D61C0"/>
    <w:rsid w:val="005D24AE"/>
    <w:rsid w:val="00802CEF"/>
    <w:rsid w:val="00967473"/>
    <w:rsid w:val="00C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2066"/>
  <w15:chartTrackingRefBased/>
  <w15:docId w15:val="{6CC8E795-6D72-4EB5-B53E-BFE3F7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4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4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4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4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747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6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2024-04-16T04:58:00Z</cp:lastPrinted>
  <dcterms:created xsi:type="dcterms:W3CDTF">2024-04-16T04:21:00Z</dcterms:created>
  <dcterms:modified xsi:type="dcterms:W3CDTF">2024-04-16T04:59:00Z</dcterms:modified>
</cp:coreProperties>
</file>